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EF" w:rsidRPr="00023B0E" w:rsidRDefault="00F94B5A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                                                           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1.</w:t>
      </w:r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დასახელება</w:t>
      </w:r>
      <w:proofErr w:type="spellEnd"/>
    </w:p>
    <w:p w:rsidR="008C4CEF" w:rsidRPr="00023B0E" w:rsidRDefault="008C4CEF" w:rsidP="008C4CE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</w:pPr>
      <w:bookmarkStart w:id="0" w:name="_GoBack"/>
      <w:proofErr w:type="spellStart"/>
      <w:proofErr w:type="gramStart"/>
      <w:r w:rsidRPr="00023B0E">
        <w:rPr>
          <w:rFonts w:ascii="Sylfaen" w:eastAsia="Times New Roman" w:hAnsi="Sylfaen" w:cs="Sylfaen"/>
          <w:color w:val="000000" w:themeColor="text1"/>
          <w:sz w:val="20"/>
          <w:szCs w:val="20"/>
        </w:rPr>
        <w:t>შპს</w:t>
      </w:r>
      <w:proofErr w:type="spellEnd"/>
      <w:proofErr w:type="gramEnd"/>
      <w:r w:rsidRPr="00023B0E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="002D0F5E" w:rsidRPr="00023B0E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,,სამთომაშველი“</w:t>
      </w:r>
      <w:r w:rsidRPr="00023B0E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023B0E">
        <w:rPr>
          <w:rFonts w:ascii="Sylfaen" w:eastAsia="Times New Roman" w:hAnsi="Sylfaen" w:cs="Sylfaen"/>
          <w:color w:val="000000" w:themeColor="text1"/>
          <w:sz w:val="20"/>
          <w:szCs w:val="20"/>
        </w:rPr>
        <w:t>აცხადებს</w:t>
      </w:r>
      <w:proofErr w:type="spellEnd"/>
      <w:r w:rsidRPr="00023B0E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Sylfaen"/>
          <w:color w:val="000000" w:themeColor="text1"/>
          <w:sz w:val="20"/>
          <w:szCs w:val="20"/>
        </w:rPr>
        <w:t>ფასთა</w:t>
      </w:r>
      <w:proofErr w:type="spellEnd"/>
      <w:r w:rsidRPr="00023B0E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Sylfaen"/>
          <w:color w:val="000000" w:themeColor="text1"/>
          <w:sz w:val="20"/>
          <w:szCs w:val="20"/>
        </w:rPr>
        <w:t>გამოკითხვას</w:t>
      </w:r>
      <w:proofErr w:type="spellEnd"/>
      <w:r w:rsidRPr="00023B0E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="002D0F5E"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ახმეტის რაიონი, სოფელ </w:t>
      </w:r>
      <w:r w:rsidR="00023B0E"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ქვემო </w:t>
      </w:r>
      <w:r w:rsidR="002D0F5E"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ალვანში</w:t>
      </w:r>
      <w:r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მდებარე ობიექტის ს/კ </w:t>
      </w:r>
      <w:bookmarkEnd w:id="0"/>
      <w:r w:rsidR="002D0F5E" w:rsidRPr="00023B0E">
        <w:rPr>
          <w:rFonts w:ascii="Sylfaen" w:hAnsi="Sylfaen"/>
          <w:color w:val="000000" w:themeColor="text1"/>
          <w:sz w:val="20"/>
          <w:szCs w:val="20"/>
        </w:rPr>
        <w:t>50.03.33.073</w:t>
      </w:r>
      <w:r w:rsidRPr="00023B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(შ/ნ N2 </w:t>
      </w:r>
      <w:r w:rsidR="00023B0E" w:rsidRPr="00023B0E">
        <w:rPr>
          <w:rFonts w:ascii="Sylfaen" w:hAnsi="Sylfaen"/>
          <w:color w:val="000000" w:themeColor="text1"/>
          <w:sz w:val="20"/>
          <w:szCs w:val="20"/>
          <w:lang w:val="ka-GE"/>
        </w:rPr>
        <w:t>და</w:t>
      </w:r>
      <w:r w:rsidRPr="00023B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ნარჩენების გატანა) </w:t>
      </w:r>
      <w:r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დემონტაჟისთვის საჭირო სამუშაოების შესყიდვის მიზნით</w:t>
      </w:r>
      <w:r w:rsidR="0087170E"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. </w:t>
      </w:r>
      <w:r w:rsidR="0087170E" w:rsidRPr="00023B0E"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 xml:space="preserve">დემონტაჟის </w:t>
      </w:r>
      <w:r w:rsidR="00CC6809" w:rsidRPr="00023B0E"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 xml:space="preserve">შემდეგ სრულად უნდა მოსწორდეს მიწის ზედაპირი, ამოივსოს ორმულები </w:t>
      </w:r>
      <w:r w:rsidR="007A2214"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 xml:space="preserve">მიწით </w:t>
      </w:r>
      <w:r w:rsidR="00CC6809" w:rsidRPr="00023B0E"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 xml:space="preserve">და ბოლომდე გასუფთავდეს ტერიტორია სამშენებლო ნარჩენებისგან </w:t>
      </w:r>
      <w:r w:rsidR="0087170E" w:rsidRPr="00023B0E">
        <w:rPr>
          <w:rFonts w:ascii="Sylfaen" w:eastAsia="Times New Roman" w:hAnsi="Sylfaen" w:cs="Sylfaen"/>
          <w:b/>
          <w:i/>
          <w:color w:val="FF0000"/>
          <w:sz w:val="20"/>
          <w:szCs w:val="20"/>
          <w:lang w:val="ka-GE"/>
        </w:rPr>
        <w:t xml:space="preserve"> </w:t>
      </w:r>
    </w:p>
    <w:p w:rsidR="008C4CEF" w:rsidRPr="00023B0E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2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.</w:t>
      </w: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პარამეტრები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აღწერა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(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დავალება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),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რაოდენობა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მოცულობა</w:t>
      </w:r>
      <w:proofErr w:type="spellEnd"/>
    </w:p>
    <w:p w:rsidR="008C4CEF" w:rsidRPr="00023B0E" w:rsidRDefault="008C4CEF" w:rsidP="0087170E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უნდა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განხორციელდეს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შემსყიდველის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მიერ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წარმოდგენილი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საპროექტო</w:t>
      </w:r>
      <w:proofErr w:type="spellEnd"/>
      <w:r w:rsidR="0087170E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დოკუმენტაციის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r w:rsidR="0087170E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შ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ესაბამისად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(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იხ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მიბმული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ფაილ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(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ებ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)ი)</w:t>
      </w:r>
    </w:p>
    <w:p w:rsidR="008C4CEF" w:rsidRPr="00023B0E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3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ფასების</w:t>
      </w:r>
      <w:proofErr w:type="spellEnd"/>
      <w:proofErr w:type="gram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ცხრილი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ხარჯთაღრიცხვა</w:t>
      </w:r>
      <w:proofErr w:type="spellEnd"/>
    </w:p>
    <w:p w:rsidR="008C4CEF" w:rsidRPr="00023B0E" w:rsidRDefault="008C4CEF" w:rsidP="008C4CEF">
      <w:pPr>
        <w:shd w:val="clear" w:color="auto" w:fill="FFFFFF"/>
        <w:spacing w:after="0" w:line="240" w:lineRule="auto"/>
        <w:rPr>
          <w:rFonts w:ascii="Sylfaen" w:eastAsia="Times New Roman" w:hAnsi="Sylfaen" w:cs="DejaVu Sans"/>
          <w:color w:val="222222"/>
          <w:sz w:val="20"/>
          <w:szCs w:val="20"/>
          <w:lang w:val="ka-GE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პრეტენდენტმა ადგილზე დათვალიერების შედეგად უნდა წარმოადგინოს მოქმედი ნორმატივების მიხედვით შედგენილ</w:t>
      </w:r>
      <w:r w:rsidR="00EC5939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ი</w:t>
      </w: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</w:t>
      </w:r>
      <w:r w:rsidR="00EC5939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რესურსული </w:t>
      </w: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ხარჯთაღრიცხვა.</w:t>
      </w:r>
    </w:p>
    <w:p w:rsidR="008C4CEF" w:rsidRPr="00023B0E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4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გაწევის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ვადა</w:t>
      </w:r>
      <w:proofErr w:type="spellEnd"/>
    </w:p>
    <w:p w:rsidR="00EC5939" w:rsidRPr="00023B0E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1.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proofErr w:type="gram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ვადაა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დადებიდან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023B0E" w:rsidRPr="00023B0E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90</w:t>
      </w:r>
      <w:r w:rsidR="00EC5939" w:rsidRPr="00023B0E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კალენდარული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დღე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;</w:t>
      </w:r>
    </w:p>
    <w:p w:rsidR="00674336" w:rsidRPr="00023B0E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2. სამუშაოების დაწყების ვადა - ხელშეკრულების გაფორმებიდან 3 სამუშაო დღე;</w:t>
      </w:r>
    </w:p>
    <w:p w:rsidR="00674336" w:rsidRPr="00023B0E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3</w:t>
      </w:r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პრეტენდენტმა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სატენდერო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წინადადების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წარდგენისას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ხარჯთაღრიცხვასთან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ერთად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უნდა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წარმოადგინოს</w:t>
      </w:r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შესასრულებელი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კალენდარული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თანხობრივი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გეგმა-გრაფიკი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;</w:t>
      </w:r>
    </w:p>
    <w:p w:rsidR="008C4CEF" w:rsidRPr="00023B0E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4</w:t>
      </w:r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მიმწოდებელი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ვალდებულია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აწარმოოს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კალენდარული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გეგმა-გრაფიკის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შესაბამისად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8C4CEF" w:rsidRPr="00023B0E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5</w:t>
      </w:r>
      <w:r w:rsidR="0074210D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გაწევის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ფორმა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ადგილი</w:t>
      </w:r>
      <w:proofErr w:type="spellEnd"/>
    </w:p>
    <w:p w:rsidR="00674336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1.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ვალდებულია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შეასრულოს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კანონმდებლობით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შესაბამისი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გარემოსდაცვითი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ნორმებისა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წესების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დაცვით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საპროექტო-სახარჯთაღრიცხვო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დოკუმენტაციის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შესაბამისად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  <w:r w:rsidR="00674336" w:rsidRPr="00023B0E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</w:p>
    <w:p w:rsidR="008C4CEF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2.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proofErr w:type="gram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>ადგილია</w:t>
      </w:r>
      <w:proofErr w:type="spellEnd"/>
      <w:r w:rsidRPr="00023B0E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: </w:t>
      </w:r>
      <w:r w:rsidR="00023B0E" w:rsidRPr="00023B0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ახმეტის რაიონი, სოფელ ქვემო ალვანი ს/კ </w:t>
      </w:r>
      <w:r w:rsidR="00023B0E" w:rsidRPr="00023B0E">
        <w:rPr>
          <w:rFonts w:ascii="Sylfaen" w:hAnsi="Sylfaen"/>
          <w:color w:val="000000" w:themeColor="text1"/>
          <w:sz w:val="20"/>
          <w:szCs w:val="20"/>
        </w:rPr>
        <w:t>50.03.33.073</w:t>
      </w:r>
    </w:p>
    <w:p w:rsidR="008C4CEF" w:rsidRPr="00023B0E" w:rsidRDefault="0074210D" w:rsidP="00674336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6.</w:t>
      </w:r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მოთხოვნა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ლიცენზიასთან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აკრედიტაციასთან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სტანდარტებთან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ხარისხის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შესაბამისობასთან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სხვ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დოკუმენტების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შესახებ</w:t>
      </w:r>
      <w:proofErr w:type="spellEnd"/>
    </w:p>
    <w:p w:rsidR="008C4CEF" w:rsidRPr="00023B0E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-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მუშაობის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პროცესში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მიმწოდებელი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ვალდებულია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შეასრულოს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მოქმედი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სამშენებლო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ნორმებისა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წესების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მიხედვით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სამუშაოს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პროცესში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ყველა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გამოყენებული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მასალა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მოწყობილობა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უნდა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იყოს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ხარისხიანი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აკმაყოფილებდეს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პროექტის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მოთხოვნებს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მოქმედ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ყველა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სამშენებლო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ნორმასა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სტანდარტს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74210D" w:rsidRPr="00023B0E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</w:p>
    <w:p w:rsidR="008C4CEF" w:rsidRPr="00023B0E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7. </w:t>
      </w:r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სხვა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დამატებითი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მოთხოვნები</w:t>
      </w:r>
      <w:proofErr w:type="spellEnd"/>
    </w:p>
    <w:p w:rsidR="00674336" w:rsidRPr="00023B0E" w:rsidRDefault="00CC680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  <w:lang w:val="ka-GE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lastRenderedPageBreak/>
        <w:t>მ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იმწოდებელმა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ობიექტზე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დაწყებამდე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უნდა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განათავსოს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საინფორმაციო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დაფა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ზომით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არანაკლებ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1მX1მ; (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მთავრობის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2009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წლის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24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მარტის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#57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დადგენილება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) (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საინფორმაციო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დაფაზე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დასატანი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ინფორმაცია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შემსყიდველთან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შეთანხმებით</w:t>
      </w:r>
      <w:proofErr w:type="spellEnd"/>
      <w:r w:rsidR="008C4CEF" w:rsidRPr="00023B0E">
        <w:rPr>
          <w:rFonts w:ascii="Sylfaen" w:eastAsia="Times New Roman" w:hAnsi="Sylfaen" w:cs="DejaVu Sans"/>
          <w:color w:val="222222"/>
          <w:sz w:val="20"/>
          <w:szCs w:val="20"/>
        </w:rPr>
        <w:t>)</w:t>
      </w:r>
      <w:r w:rsidR="00674336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.</w:t>
      </w:r>
    </w:p>
    <w:p w:rsidR="00674336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br/>
        <w:t>-</w:t>
      </w:r>
      <w:r w:rsidR="00023B0E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ყველა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განხორციელება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მოხდეს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მთავრობის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2014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წლის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27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მაისის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N361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დადგენილების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„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მშენებლობის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უსაფრთხოების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შესახებ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ტექნიკური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რეგლამენტის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დამტკიცების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თაობაზე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“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მთავრობის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2014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წლის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14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იანვრის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N55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დადგენილებით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დამტკიცებული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ტექნიკური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რეგლამენტის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- ,,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სამშენებლო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სახელმწიფო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შესყიდვისას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ზედნადები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ხარჯებისა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გეგმური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მოგების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განსაზღვრის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წესის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“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მოთხოვნათა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გათვალისწინებით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674336" w:rsidRPr="00023B0E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b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 xml:space="preserve">8.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>სამუშაოთა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>საბოლოო</w:t>
      </w:r>
      <w:proofErr w:type="spellEnd"/>
      <w:r w:rsidR="008C4CEF"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222222"/>
          <w:sz w:val="20"/>
          <w:szCs w:val="20"/>
        </w:rPr>
        <w:t>მიღება</w:t>
      </w:r>
      <w:proofErr w:type="spellEnd"/>
    </w:p>
    <w:p w:rsidR="008C4CEF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მიმწოდებელი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ატყობინებს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შემსყიდველს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სამუშაოთა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დასრულების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შესახებ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თანახმად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მიმწოდებლის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მიერ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დადგენილი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ვადისა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შემსყიდველი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ამოწმებს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შესრულებულ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თუ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შემსყიდველმა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შეაფასა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წუნით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სამუშოები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დასრულებულად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ჩაითვლება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დეფექტების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აღმოფხვრის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შემდეგ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8C4CEF" w:rsidRPr="00023B0E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9. </w:t>
      </w:r>
      <w:proofErr w:type="spellStart"/>
      <w:proofErr w:type="gram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ანგარიშსწორების</w:t>
      </w:r>
      <w:proofErr w:type="spellEnd"/>
      <w:proofErr w:type="gram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განხორციელების</w:t>
      </w:r>
      <w:proofErr w:type="spellEnd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023B0E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პირობები</w:t>
      </w:r>
      <w:proofErr w:type="spellEnd"/>
    </w:p>
    <w:p w:rsidR="00674336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1.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ხელშეკრულების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ფარგლებში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ანგარიშსწორება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იწარმოება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უნაღდო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ანგარიშსწორების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ფორმით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ეროვნულ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ვალუტაში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ხელშეკრულებით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გათვალისწინებულ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რეკვიზიტებზე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8C4CEF" w:rsidRPr="00023B0E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2. </w:t>
      </w:r>
      <w:proofErr w:type="spellStart"/>
      <w:proofErr w:type="gram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ანგარიშსწორება</w:t>
      </w:r>
      <w:proofErr w:type="spellEnd"/>
      <w:proofErr w:type="gram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განხორციელდება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ხელშეკრულებით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გათვალისწინებული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სრულად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შესრულების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შემდგომ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,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მხარეებს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შორის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ფაქტობრივად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შესრულებულ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სამუშაოზე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გაფ</w:t>
      </w:r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>ორმებული</w:t>
      </w:r>
      <w:proofErr w:type="spellEnd"/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>ფორმა</w:t>
      </w:r>
      <w:proofErr w:type="spellEnd"/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N2-ის </w:t>
      </w:r>
      <w:proofErr w:type="spellStart"/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>საფუძველზე</w:t>
      </w:r>
      <w:proofErr w:type="spellEnd"/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</w:rPr>
        <w:t>,</w:t>
      </w:r>
      <w:r w:rsidR="00CC6809"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საქართველოს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კანონმდებლობით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გათვალისწინებული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დოკუმენტების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დადასტურებიდან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და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მიღება-ჩაბარების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აქტის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გაფორმებიდან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10 (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ათი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)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სამუშაო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დღის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 xml:space="preserve"> </w:t>
      </w:r>
      <w:proofErr w:type="spellStart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განმავლობაში</w:t>
      </w:r>
      <w:proofErr w:type="spellEnd"/>
      <w:r w:rsidRPr="00023B0E">
        <w:rPr>
          <w:rFonts w:ascii="Sylfaen" w:eastAsia="Times New Roman" w:hAnsi="Sylfaen" w:cs="DejaVu Sans"/>
          <w:color w:val="222222"/>
          <w:sz w:val="20"/>
          <w:szCs w:val="20"/>
        </w:rPr>
        <w:t>.</w:t>
      </w:r>
    </w:p>
    <w:p w:rsidR="0074210D" w:rsidRPr="00023B0E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0"/>
          <w:szCs w:val="20"/>
        </w:rPr>
      </w:pPr>
    </w:p>
    <w:p w:rsidR="00CC6809" w:rsidRPr="00023B0E" w:rsidRDefault="0074210D" w:rsidP="0074210D">
      <w:pPr>
        <w:rPr>
          <w:rFonts w:ascii="Sylfaen" w:hAnsi="Sylfaen"/>
          <w:b/>
          <w:sz w:val="20"/>
          <w:szCs w:val="20"/>
        </w:rPr>
      </w:pPr>
      <w:r w:rsidRPr="00023B0E">
        <w:rPr>
          <w:rFonts w:ascii="Sylfaen" w:hAnsi="Sylfaen" w:cs="Sylfaen"/>
          <w:b/>
          <w:sz w:val="20"/>
          <w:szCs w:val="20"/>
        </w:rPr>
        <w:t xml:space="preserve">10. </w:t>
      </w:r>
      <w:proofErr w:type="spellStart"/>
      <w:proofErr w:type="gramStart"/>
      <w:r w:rsidR="00CC6809" w:rsidRPr="00023B0E">
        <w:rPr>
          <w:rFonts w:ascii="Sylfaen" w:hAnsi="Sylfaen" w:cs="Sylfaen"/>
          <w:b/>
          <w:sz w:val="20"/>
          <w:szCs w:val="20"/>
        </w:rPr>
        <w:t>ფასთა</w:t>
      </w:r>
      <w:proofErr w:type="spellEnd"/>
      <w:proofErr w:type="gramEnd"/>
      <w:r w:rsidR="00CC6809" w:rsidRPr="00023B0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C6809" w:rsidRPr="00023B0E">
        <w:rPr>
          <w:rFonts w:ascii="Sylfaen" w:hAnsi="Sylfaen" w:cs="Sylfaen"/>
          <w:b/>
          <w:sz w:val="20"/>
          <w:szCs w:val="20"/>
        </w:rPr>
        <w:t>გამოკითხვის</w:t>
      </w:r>
      <w:proofErr w:type="spellEnd"/>
      <w:r w:rsidR="00CC6809" w:rsidRPr="00023B0E">
        <w:rPr>
          <w:rFonts w:ascii="Sylfaen" w:hAnsi="Sylfaen"/>
          <w:b/>
          <w:sz w:val="20"/>
          <w:szCs w:val="20"/>
        </w:rPr>
        <w:t> </w:t>
      </w:r>
      <w:proofErr w:type="spellStart"/>
      <w:r w:rsidR="00CC6809" w:rsidRPr="00023B0E">
        <w:rPr>
          <w:rFonts w:ascii="Sylfaen" w:hAnsi="Sylfaen" w:cs="Sylfaen"/>
          <w:b/>
          <w:sz w:val="20"/>
          <w:szCs w:val="20"/>
        </w:rPr>
        <w:t>ჩაბარების</w:t>
      </w:r>
      <w:proofErr w:type="spellEnd"/>
      <w:r w:rsidR="00CC6809" w:rsidRPr="00023B0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CC6809" w:rsidRPr="00023B0E">
        <w:rPr>
          <w:rFonts w:ascii="Sylfaen" w:hAnsi="Sylfaen" w:cs="Sylfaen"/>
          <w:b/>
          <w:sz w:val="20"/>
          <w:szCs w:val="20"/>
        </w:rPr>
        <w:t>პირობები</w:t>
      </w:r>
      <w:proofErr w:type="spellEnd"/>
      <w:r w:rsidR="00CC6809" w:rsidRPr="00023B0E">
        <w:rPr>
          <w:rFonts w:ascii="Sylfaen" w:hAnsi="Sylfaen"/>
          <w:b/>
          <w:sz w:val="20"/>
          <w:szCs w:val="20"/>
        </w:rPr>
        <w:t>:</w:t>
      </w:r>
    </w:p>
    <w:p w:rsidR="00CC6809" w:rsidRPr="00023B0E" w:rsidRDefault="00CC6809" w:rsidP="00CC6809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ქართულ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ენაზე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ბეჭდური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სახით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 დ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ალუქულ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კონვერტში, 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: </w:t>
      </w:r>
      <w:r w:rsidR="00023B0E"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თბილისი, კოსტავას ქ.N70. 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კონვერტს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გარედან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ეწეროს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ფასთა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გამოკითხვის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,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.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პირებმა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წარმოადგინონ</w:t>
      </w:r>
      <w:r w:rsidRPr="00023B0E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არაუგვიანეს</w:t>
      </w:r>
      <w:r w:rsidRPr="00023B0E"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  <w:t> </w:t>
      </w:r>
      <w:r w:rsidR="00023B0E"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2021</w:t>
      </w:r>
      <w:r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023B0E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023B0E"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20 მაისის</w:t>
      </w:r>
      <w:r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18:00 </w:t>
      </w:r>
      <w:r w:rsidRPr="00023B0E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023B0E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-</w:t>
      </w:r>
      <w:r w:rsidRPr="00023B0E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</w:p>
    <w:p w:rsidR="0074210D" w:rsidRPr="00023B0E" w:rsidRDefault="00CC6809" w:rsidP="0074210D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 w:rsidRPr="00023B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74210D" w:rsidRPr="00023B0E" w:rsidRDefault="00CC6809" w:rsidP="0074210D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proofErr w:type="spellStart"/>
      <w:proofErr w:type="gramStart"/>
      <w:r w:rsidRPr="00023B0E">
        <w:rPr>
          <w:rFonts w:ascii="Sylfaen" w:eastAsia="Times New Roman" w:hAnsi="Sylfaen" w:cs="DejaVu Sans"/>
          <w:b/>
          <w:color w:val="0073EA"/>
          <w:sz w:val="20"/>
          <w:szCs w:val="20"/>
        </w:rPr>
        <w:t>საკონტაქტო</w:t>
      </w:r>
      <w:proofErr w:type="spellEnd"/>
      <w:proofErr w:type="gramEnd"/>
      <w:r w:rsidRPr="00023B0E">
        <w:rPr>
          <w:rFonts w:ascii="Sylfaen" w:eastAsia="Times New Roman" w:hAnsi="Sylfaen" w:cs="DejaVu Sans"/>
          <w:b/>
          <w:color w:val="0073EA"/>
          <w:sz w:val="20"/>
          <w:szCs w:val="20"/>
        </w:rPr>
        <w:t xml:space="preserve"> </w:t>
      </w:r>
      <w:r w:rsidR="0074210D" w:rsidRPr="00023B0E">
        <w:rPr>
          <w:rFonts w:ascii="Sylfaen" w:eastAsia="Times New Roman" w:hAnsi="Sylfaen" w:cs="DejaVu Sans"/>
          <w:b/>
          <w:color w:val="0073EA"/>
          <w:sz w:val="20"/>
          <w:szCs w:val="20"/>
          <w:lang w:val="ka-GE"/>
        </w:rPr>
        <w:t>პირი</w:t>
      </w:r>
    </w:p>
    <w:p w:rsidR="008C4CEF" w:rsidRPr="003F445A" w:rsidRDefault="00023B0E" w:rsidP="0074210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color w:val="222222"/>
          <w:sz w:val="20"/>
          <w:szCs w:val="20"/>
        </w:rPr>
      </w:pPr>
      <w:r w:rsidRPr="00023B0E"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>თამარ ჯაფიაშვილი</w:t>
      </w:r>
      <w:r>
        <w:rPr>
          <w:rFonts w:ascii="Sylfaen" w:eastAsia="Times New Roman" w:hAnsi="Sylfaen" w:cs="DejaVu Sans"/>
          <w:color w:val="222222"/>
          <w:sz w:val="20"/>
          <w:szCs w:val="20"/>
          <w:lang w:val="ka-GE"/>
        </w:rPr>
        <w:t xml:space="preserve"> 5 95 03 45 66 </w:t>
      </w:r>
    </w:p>
    <w:p w:rsidR="002C5B1D" w:rsidRPr="00023B0E" w:rsidRDefault="002C5B1D" w:rsidP="0087170E">
      <w:pPr>
        <w:tabs>
          <w:tab w:val="left" w:pos="10170"/>
        </w:tabs>
        <w:rPr>
          <w:rFonts w:ascii="Sylfaen" w:hAnsi="Sylfaen"/>
          <w:sz w:val="20"/>
          <w:szCs w:val="20"/>
        </w:rPr>
      </w:pPr>
    </w:p>
    <w:sectPr w:rsidR="002C5B1D" w:rsidRPr="00023B0E" w:rsidSect="0074210D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C"/>
    <w:rsid w:val="00023B0E"/>
    <w:rsid w:val="002C5B1D"/>
    <w:rsid w:val="002D0F5E"/>
    <w:rsid w:val="003F445A"/>
    <w:rsid w:val="00674336"/>
    <w:rsid w:val="00740BC4"/>
    <w:rsid w:val="0074210D"/>
    <w:rsid w:val="007A2214"/>
    <w:rsid w:val="0087170E"/>
    <w:rsid w:val="008C4CEF"/>
    <w:rsid w:val="00A4059C"/>
    <w:rsid w:val="00CC6809"/>
    <w:rsid w:val="00EC5939"/>
    <w:rsid w:val="00F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0B13-91D3-4421-881B-78A2066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1">
    <w:name w:val="color-1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EF"/>
    <w:rPr>
      <w:b/>
      <w:bCs/>
    </w:rPr>
  </w:style>
  <w:style w:type="paragraph" w:customStyle="1" w:styleId="q">
    <w:name w:val="q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67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591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2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952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583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Windows User</cp:lastModifiedBy>
  <cp:revision>2</cp:revision>
  <cp:lastPrinted>2021-05-14T09:39:00Z</cp:lastPrinted>
  <dcterms:created xsi:type="dcterms:W3CDTF">2021-05-14T14:30:00Z</dcterms:created>
  <dcterms:modified xsi:type="dcterms:W3CDTF">2021-05-14T14:30:00Z</dcterms:modified>
</cp:coreProperties>
</file>